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6999"/>
      </w:tblGrid>
      <w:tr w:rsidR="003B0CC9" w:rsidRPr="0068640C" w:rsidTr="00C93821">
        <w:trPr>
          <w:tblCellSpacing w:w="15" w:type="dxa"/>
        </w:trPr>
        <w:tc>
          <w:tcPr>
            <w:tcW w:w="1589" w:type="pct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3B0CC9" w:rsidRPr="003B0CC9" w:rsidRDefault="003B0CC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C9">
              <w:rPr>
                <w:rFonts w:ascii="Times New Roman" w:hAnsi="Times New Roman" w:cs="Times New Roman"/>
              </w:rPr>
              <w:t>Продление действия разрешения на размещение средства наружной рекламы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3B0CC9" w:rsidRPr="0068640C" w:rsidRDefault="003B0CC9" w:rsidP="003B0CC9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3B0CC9" w:rsidRPr="0068640C" w:rsidRDefault="003B0CC9" w:rsidP="003B0CC9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 </w:t>
            </w:r>
          </w:p>
          <w:p w:rsidR="003B0CC9" w:rsidRPr="0068640C" w:rsidRDefault="003B0CC9" w:rsidP="003B0CC9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фотографии места размещения средства наружной рекламы размером 9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 </w:t>
            </w:r>
          </w:p>
          <w:p w:rsidR="003B0CC9" w:rsidRPr="0068640C" w:rsidRDefault="003B0CC9" w:rsidP="003B0CC9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рекламораспространитель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собственником или уполномоченным лицом.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 документ)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3B0CC9" w:rsidRPr="0068640C" w:rsidRDefault="003B0CC9" w:rsidP="003B0CC9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государственную регистрацию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рекламораспространителя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первой подаче такого документа в соответствующий исполком)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49F5" w:rsidRDefault="003B0CC9" w:rsidP="00D449F5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 за оформление паспорта средства наружной рекламы, за исключением случая оформления такого паспорта на техническое средство, специально предназначенное и (или) используемое исключительно для размещения социальной рекламы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3B0CC9" w:rsidRPr="0068640C" w:rsidRDefault="003B0CC9" w:rsidP="00D449F5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0CC9" w:rsidRPr="0068640C" w:rsidRDefault="003B0CC9" w:rsidP="00C9382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</w:t>
            </w:r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индивидуального предпринимателя (уполномоченного им лица).</w:t>
            </w:r>
          </w:p>
          <w:p w:rsidR="003B0CC9" w:rsidRPr="0068640C" w:rsidRDefault="003B0CC9" w:rsidP="00C9382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информационного пространства).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367" w:type="pct"/>
            <w:vAlign w:val="center"/>
            <w:hideMark/>
          </w:tcPr>
          <w:p w:rsidR="003B0CC9" w:rsidRDefault="003B0CC9" w:rsidP="003B0CC9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B0CC9" w:rsidRPr="0000273F" w:rsidRDefault="003B0CC9" w:rsidP="003B0CC9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3B0CC9" w:rsidRDefault="003B0CC9" w:rsidP="003B0CC9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3B0CC9" w:rsidRPr="0068640C" w:rsidRDefault="003B0CC9" w:rsidP="003B0CC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  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vAlign w:val="center"/>
            <w:hideMark/>
          </w:tcPr>
          <w:p w:rsidR="003B0CC9" w:rsidRDefault="003B0CC9" w:rsidP="003B0CC9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Фомук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Викторовна, инженер 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B0CC9" w:rsidRPr="00100022" w:rsidRDefault="003B0CC9" w:rsidP="003B0CC9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3B0CC9" w:rsidRDefault="003B0CC9" w:rsidP="003B0CC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59B7" w:rsidRDefault="00D759B7" w:rsidP="00D75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Козлова  </w:t>
            </w:r>
          </w:p>
          <w:p w:rsidR="00D759B7" w:rsidRDefault="00D759B7" w:rsidP="00D759B7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Вероника Алексеевна, архитектор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59B7" w:rsidRPr="0068640C" w:rsidRDefault="00D759B7" w:rsidP="00D759B7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3B0CC9" w:rsidRDefault="003B0CC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услуги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 – при выдаче разрешения на размещение средства наружной рекламы: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новом или прежнем месте в связи с прекращением действия 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выданного разрешения по причине проведения в месте размещения средства наружной рекламы работ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застройке, благоустройству территорий, строительству, реконструкции или ремонту зданий (сооружений), иных элементов инфраструктуры,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  <w:p w:rsidR="00D4433F" w:rsidRDefault="00D4433F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33F" w:rsidRPr="00D4433F" w:rsidRDefault="00D4433F" w:rsidP="00D4433F">
            <w:pPr>
              <w:pStyle w:val="wb-stl-custom12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    </w:t>
            </w:r>
            <w:r w:rsidRPr="00D4433F">
              <w:rPr>
                <w:b/>
              </w:rPr>
              <w:t xml:space="preserve">Реквизиты для оплаты:    </w:t>
            </w:r>
          </w:p>
          <w:p w:rsidR="00D4433F" w:rsidRPr="00D4433F" w:rsidRDefault="00D4433F" w:rsidP="00D4433F">
            <w:pPr>
              <w:pStyle w:val="wb-stl-custom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433F">
              <w:t xml:space="preserve">    </w:t>
            </w:r>
            <w:proofErr w:type="spellStart"/>
            <w:proofErr w:type="gramStart"/>
            <w:r w:rsidRPr="00D4433F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D4433F">
              <w:rPr>
                <w:sz w:val="26"/>
                <w:szCs w:val="26"/>
              </w:rPr>
              <w:t>/с </w:t>
            </w:r>
            <w:r w:rsidRPr="00D4433F">
              <w:rPr>
                <w:rStyle w:val="a3"/>
                <w:b w:val="0"/>
                <w:sz w:val="26"/>
                <w:szCs w:val="26"/>
              </w:rPr>
              <w:t>BY30BLBB30120200216137001001</w:t>
            </w:r>
            <w:r w:rsidRPr="00D4433F">
              <w:rPr>
                <w:b/>
                <w:sz w:val="26"/>
                <w:szCs w:val="26"/>
              </w:rPr>
              <w:t>,</w:t>
            </w:r>
          </w:p>
          <w:p w:rsidR="00D4433F" w:rsidRPr="00D4433F" w:rsidRDefault="00D4433F" w:rsidP="00D4433F">
            <w:pPr>
              <w:pStyle w:val="wb-stl-custom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433F">
              <w:rPr>
                <w:sz w:val="26"/>
                <w:szCs w:val="26"/>
              </w:rPr>
              <w:t xml:space="preserve">    в ОАО "</w:t>
            </w:r>
            <w:proofErr w:type="spellStart"/>
            <w:r w:rsidRPr="00D4433F">
              <w:rPr>
                <w:sz w:val="26"/>
                <w:szCs w:val="26"/>
              </w:rPr>
              <w:t>Белинвестбанк</w:t>
            </w:r>
            <w:proofErr w:type="spellEnd"/>
            <w:r w:rsidRPr="00D4433F">
              <w:rPr>
                <w:sz w:val="26"/>
                <w:szCs w:val="26"/>
              </w:rPr>
              <w:t xml:space="preserve">" код банка BLBBBY2X,  </w:t>
            </w:r>
          </w:p>
          <w:p w:rsidR="00D4433F" w:rsidRPr="0068640C" w:rsidRDefault="00D4433F" w:rsidP="00D4433F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УНП</w:t>
            </w:r>
            <w:r w:rsidRPr="00D4433F">
              <w:rPr>
                <w:rStyle w:val="a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D4433F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200216137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дней, а в случае, если требуются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 лет на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электронные табло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5 лет на иные технически сложные средства наружной рекламы (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надкрышные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полями,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призматроны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более 2,16 кв. метра,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3 лет на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до 2,16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вывески рекламного характера – на срок до окончания расположения производственного объекта, торгового объекта или иного объекта обслуживания или осуществления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рекламораспространителем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размещения вывески рекламного характера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иные средства наружной рекламы – на срок не менее 1 года, если иное не определено договором на размещение средства 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наружной рекламы</w:t>
            </w: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C9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CC9" w:rsidRPr="0068640C" w:rsidRDefault="003B0CC9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67" w:type="pct"/>
            <w:vAlign w:val="center"/>
            <w:hideMark/>
          </w:tcPr>
          <w:p w:rsidR="003B0CC9" w:rsidRPr="002E4F9C" w:rsidRDefault="003B0CC9" w:rsidP="00C93821">
            <w:pPr>
              <w:spacing w:after="0" w:line="240" w:lineRule="auto"/>
              <w:ind w:left="22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EC0" w:rsidRDefault="00923EC0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p w:rsidR="003B0CC9" w:rsidRDefault="003B0CC9"/>
    <w:sectPr w:rsidR="003B0CC9" w:rsidSect="003B0CC9">
      <w:pgSz w:w="11906" w:h="16838"/>
      <w:pgMar w:top="1134" w:right="1133" w:bottom="113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7463"/>
    <w:multiLevelType w:val="multilevel"/>
    <w:tmpl w:val="83C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B0CC9"/>
    <w:rsid w:val="0009583F"/>
    <w:rsid w:val="001534D3"/>
    <w:rsid w:val="00282416"/>
    <w:rsid w:val="003B0CC9"/>
    <w:rsid w:val="003F165C"/>
    <w:rsid w:val="00463579"/>
    <w:rsid w:val="004E0F4C"/>
    <w:rsid w:val="005D69DA"/>
    <w:rsid w:val="00753CC9"/>
    <w:rsid w:val="00923EC0"/>
    <w:rsid w:val="009E2183"/>
    <w:rsid w:val="00BB27BA"/>
    <w:rsid w:val="00BE0C60"/>
    <w:rsid w:val="00CE5687"/>
    <w:rsid w:val="00D4433F"/>
    <w:rsid w:val="00D449F5"/>
    <w:rsid w:val="00D7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C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12">
    <w:name w:val="wb-stl-custom12"/>
    <w:basedOn w:val="a"/>
    <w:rsid w:val="00D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2022-09-23T12:02:00Z</dcterms:created>
  <dcterms:modified xsi:type="dcterms:W3CDTF">2022-10-05T10:58:00Z</dcterms:modified>
</cp:coreProperties>
</file>